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1CD2" w14:textId="7481993B" w:rsidR="00FE4F9F" w:rsidRDefault="00502700" w:rsidP="00FE4F9F">
      <w:pPr>
        <w:pStyle w:val="Default"/>
        <w:ind w:left="2268"/>
        <w:rPr>
          <w:b/>
          <w:bCs/>
          <w:sz w:val="56"/>
          <w:szCs w:val="56"/>
        </w:rPr>
      </w:pPr>
      <w:r w:rsidRPr="00FE4F9F">
        <w:rPr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B31CFE" wp14:editId="612F1C01">
                <wp:simplePos x="0" y="0"/>
                <wp:positionH relativeFrom="page">
                  <wp:posOffset>3020060</wp:posOffset>
                </wp:positionH>
                <wp:positionV relativeFrom="paragraph">
                  <wp:posOffset>-902142</wp:posOffset>
                </wp:positionV>
                <wp:extent cx="4540250" cy="906448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9064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31D06" w14:textId="77777777" w:rsidR="0077161D" w:rsidRPr="00502700" w:rsidRDefault="0077161D" w:rsidP="00F65F0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5027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Fiche descriptive de marché</w:t>
                            </w:r>
                          </w:p>
                          <w:p w14:paraId="7DB31D07" w14:textId="01A0840D" w:rsidR="0077161D" w:rsidRPr="00502700" w:rsidRDefault="0077161D" w:rsidP="00F65F0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70C0"/>
                                <w:sz w:val="56"/>
                              </w:rPr>
                            </w:pPr>
                            <w:r w:rsidRPr="00502700">
                              <w:rPr>
                                <w:rFonts w:asciiTheme="minorHAnsi" w:hAnsiTheme="minorHAnsi" w:cstheme="minorHAnsi"/>
                                <w:color w:val="0070C0"/>
                                <w:sz w:val="56"/>
                              </w:rPr>
                              <w:t xml:space="preserve">EDF CNPE </w:t>
                            </w:r>
                            <w:r w:rsidR="00502700">
                              <w:rPr>
                                <w:rFonts w:asciiTheme="minorHAnsi" w:hAnsiTheme="minorHAnsi" w:cstheme="minorHAnsi"/>
                                <w:color w:val="0070C0"/>
                                <w:sz w:val="56"/>
                              </w:rPr>
                              <w:t>BUGEY</w:t>
                            </w:r>
                          </w:p>
                          <w:p w14:paraId="08F27B36" w14:textId="05F693D5" w:rsidR="00920FF4" w:rsidRPr="00920FF4" w:rsidRDefault="00920FF4" w:rsidP="00F65F0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31CF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7.8pt;margin-top:-71.05pt;width:357.5pt;height:71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" filled="f" stroked="f">
                <v:textbox>
                  <w:txbxContent>
                    <w:p w14:paraId="7DB31D06" w14:textId="77777777" w:rsidR="0077161D" w:rsidRPr="00502700" w:rsidRDefault="0077161D" w:rsidP="00F65F0C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502700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56"/>
                          <w:szCs w:val="56"/>
                        </w:rPr>
                        <w:t>Fiche descriptive de marché</w:t>
                      </w:r>
                    </w:p>
                    <w:p w14:paraId="7DB31D07" w14:textId="01A0840D" w:rsidR="0077161D" w:rsidRPr="00502700" w:rsidRDefault="0077161D" w:rsidP="00F65F0C">
                      <w:pPr>
                        <w:jc w:val="right"/>
                        <w:rPr>
                          <w:rFonts w:asciiTheme="minorHAnsi" w:hAnsiTheme="minorHAnsi" w:cstheme="minorHAnsi"/>
                          <w:color w:val="0070C0"/>
                          <w:sz w:val="56"/>
                        </w:rPr>
                      </w:pPr>
                      <w:r w:rsidRPr="00502700">
                        <w:rPr>
                          <w:rFonts w:asciiTheme="minorHAnsi" w:hAnsiTheme="minorHAnsi" w:cstheme="minorHAnsi"/>
                          <w:color w:val="0070C0"/>
                          <w:sz w:val="56"/>
                        </w:rPr>
                        <w:t xml:space="preserve">EDF CNPE </w:t>
                      </w:r>
                      <w:r w:rsidR="00502700">
                        <w:rPr>
                          <w:rFonts w:asciiTheme="minorHAnsi" w:hAnsiTheme="minorHAnsi" w:cstheme="minorHAnsi"/>
                          <w:color w:val="0070C0"/>
                          <w:sz w:val="56"/>
                        </w:rPr>
                        <w:t>BUGEY</w:t>
                      </w:r>
                    </w:p>
                    <w:p w14:paraId="08F27B36" w14:textId="05F693D5" w:rsidR="00920FF4" w:rsidRPr="00920FF4" w:rsidRDefault="00920FF4" w:rsidP="00F65F0C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color w:val="FF0000"/>
                          <w:sz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8D43812" wp14:editId="67524D18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39243" cy="3005593"/>
            <wp:effectExtent l="0" t="0" r="5080" b="444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67" b="17492"/>
                    <a:stretch/>
                  </pic:blipFill>
                  <pic:spPr bwMode="auto">
                    <a:xfrm>
                      <a:off x="0" y="0"/>
                      <a:ext cx="7547047" cy="300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F9F">
        <w:rPr>
          <w:b/>
          <w:bCs/>
          <w:sz w:val="56"/>
          <w:szCs w:val="56"/>
        </w:rPr>
        <w:t xml:space="preserve"> </w:t>
      </w:r>
    </w:p>
    <w:p w14:paraId="7DB31CD3" w14:textId="77777777" w:rsidR="00FE4F9F" w:rsidRDefault="00FE4F9F" w:rsidP="00FE4F9F">
      <w:pPr>
        <w:pStyle w:val="Default"/>
        <w:ind w:left="-567"/>
        <w:rPr>
          <w:b/>
          <w:bCs/>
          <w:sz w:val="56"/>
          <w:szCs w:val="56"/>
        </w:rPr>
      </w:pPr>
    </w:p>
    <w:p w14:paraId="7DB31CD4" w14:textId="0A83EF95" w:rsidR="00FE4F9F" w:rsidRDefault="00502700" w:rsidP="00502700">
      <w:pPr>
        <w:pStyle w:val="Default"/>
        <w:tabs>
          <w:tab w:val="left" w:pos="2229"/>
        </w:tabs>
        <w:ind w:left="-567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ab/>
      </w:r>
    </w:p>
    <w:p w14:paraId="7DB31CD5" w14:textId="650BD8BD" w:rsidR="00FE4F9F" w:rsidRDefault="00502700" w:rsidP="00502700">
      <w:pPr>
        <w:pStyle w:val="Default"/>
        <w:tabs>
          <w:tab w:val="left" w:pos="2154"/>
        </w:tabs>
        <w:ind w:left="-567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ab/>
      </w:r>
    </w:p>
    <w:p w14:paraId="7DB31CD6" w14:textId="46AD7843" w:rsidR="00FE4F9F" w:rsidRDefault="00CF389D" w:rsidP="00CF389D">
      <w:pPr>
        <w:pStyle w:val="Default"/>
        <w:tabs>
          <w:tab w:val="left" w:pos="2717"/>
        </w:tabs>
        <w:ind w:left="-567"/>
        <w:rPr>
          <w:sz w:val="56"/>
          <w:szCs w:val="56"/>
        </w:rPr>
      </w:pPr>
      <w:r>
        <w:rPr>
          <w:sz w:val="56"/>
          <w:szCs w:val="56"/>
        </w:rPr>
        <w:tab/>
      </w:r>
    </w:p>
    <w:p w14:paraId="7DB31CD7" w14:textId="77777777" w:rsidR="00FE4F9F" w:rsidRPr="00384847" w:rsidRDefault="006469FA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44"/>
          <w:szCs w:val="44"/>
        </w:rPr>
      </w:pPr>
      <w:r w:rsidRPr="00384847">
        <w:rPr>
          <w:rFonts w:asciiTheme="majorHAnsi" w:hAnsiTheme="majorHAnsi" w:cstheme="majorHAnsi"/>
          <w:b/>
          <w:noProof/>
          <w:color w:val="1F3864" w:themeColor="accent5" w:themeShade="80"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7DB31D02" wp14:editId="7DB31D03">
            <wp:simplePos x="0" y="0"/>
            <wp:positionH relativeFrom="page">
              <wp:align>center</wp:align>
            </wp:positionH>
            <wp:positionV relativeFrom="paragraph">
              <wp:posOffset>9262</wp:posOffset>
            </wp:positionV>
            <wp:extent cx="1577340" cy="851535"/>
            <wp:effectExtent l="0" t="0" r="3810" b="5715"/>
            <wp:wrapTight wrapText="bothSides">
              <wp:wrapPolygon edited="0">
                <wp:start x="0" y="0"/>
                <wp:lineTo x="0" y="21262"/>
                <wp:lineTo x="21391" y="21262"/>
                <wp:lineTo x="2139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F_Logo_4C_600_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F9F" w:rsidRPr="00384847">
        <w:rPr>
          <w:rFonts w:asciiTheme="majorHAnsi" w:hAnsiTheme="majorHAnsi" w:cstheme="majorHAnsi"/>
          <w:b/>
          <w:color w:val="1F3864" w:themeColor="accent5" w:themeShade="80"/>
          <w:sz w:val="44"/>
          <w:szCs w:val="44"/>
        </w:rPr>
        <w:t xml:space="preserve">Donneur d’Ordre : </w:t>
      </w:r>
    </w:p>
    <w:p w14:paraId="7DB31CD8" w14:textId="77777777" w:rsidR="00F65F0C" w:rsidRPr="00384847" w:rsidRDefault="00F65F0C" w:rsidP="00FE4F9F">
      <w:pPr>
        <w:pStyle w:val="Default"/>
        <w:ind w:left="-567"/>
        <w:rPr>
          <w:rFonts w:asciiTheme="majorHAnsi" w:hAnsiTheme="majorHAnsi" w:cstheme="majorHAnsi"/>
          <w:sz w:val="44"/>
          <w:szCs w:val="44"/>
        </w:rPr>
      </w:pPr>
    </w:p>
    <w:p w14:paraId="7DB31CD9" w14:textId="77777777" w:rsidR="00F65F0C" w:rsidRPr="00384847" w:rsidRDefault="00F65F0C" w:rsidP="00FE4F9F">
      <w:pPr>
        <w:pStyle w:val="Default"/>
        <w:ind w:left="-567"/>
        <w:jc w:val="center"/>
        <w:rPr>
          <w:rFonts w:asciiTheme="majorHAnsi" w:hAnsiTheme="majorHAnsi" w:cstheme="majorHAnsi"/>
          <w:b/>
          <w:sz w:val="36"/>
          <w:szCs w:val="32"/>
        </w:rPr>
      </w:pPr>
      <w:r w:rsidRPr="00384847">
        <w:rPr>
          <w:rFonts w:asciiTheme="majorHAnsi" w:hAnsiTheme="majorHAnsi" w:cstheme="majorHAnsi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31D04" wp14:editId="7DB31D05">
                <wp:simplePos x="0" y="0"/>
                <wp:positionH relativeFrom="column">
                  <wp:posOffset>-895008</wp:posOffset>
                </wp:positionH>
                <wp:positionV relativeFrom="paragraph">
                  <wp:posOffset>269230</wp:posOffset>
                </wp:positionV>
                <wp:extent cx="7556334" cy="0"/>
                <wp:effectExtent l="0" t="0" r="2603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33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A6C9B" id="Connecteur droit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5pt,21.2pt" to="524.5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" strokecolor="#5b9bd5 [3204]" strokeweight="1pt">
                <v:stroke joinstyle="miter"/>
              </v:line>
            </w:pict>
          </mc:Fallback>
        </mc:AlternateContent>
      </w:r>
    </w:p>
    <w:p w14:paraId="7DB31CDA" w14:textId="77777777" w:rsidR="00F65F0C" w:rsidRPr="00384847" w:rsidRDefault="00F65F0C" w:rsidP="00FE4F9F">
      <w:pPr>
        <w:pStyle w:val="Default"/>
        <w:ind w:left="-567"/>
        <w:jc w:val="center"/>
        <w:rPr>
          <w:rFonts w:asciiTheme="majorHAnsi" w:hAnsiTheme="majorHAnsi" w:cstheme="majorHAnsi"/>
          <w:b/>
          <w:sz w:val="16"/>
          <w:szCs w:val="32"/>
        </w:rPr>
      </w:pPr>
    </w:p>
    <w:p w14:paraId="7DB31CDB" w14:textId="77777777" w:rsidR="00FE4F9F" w:rsidRPr="00384847" w:rsidRDefault="00FE4F9F" w:rsidP="00FE4F9F">
      <w:pPr>
        <w:pStyle w:val="Default"/>
        <w:ind w:left="-567"/>
        <w:jc w:val="center"/>
        <w:rPr>
          <w:rFonts w:asciiTheme="majorHAnsi" w:hAnsiTheme="majorHAnsi" w:cstheme="majorHAnsi"/>
          <w:b/>
          <w:sz w:val="36"/>
          <w:szCs w:val="32"/>
        </w:rPr>
      </w:pPr>
      <w:r w:rsidRPr="00384847">
        <w:rPr>
          <w:rFonts w:asciiTheme="majorHAnsi" w:hAnsiTheme="majorHAnsi" w:cstheme="majorHAnsi"/>
          <w:b/>
          <w:sz w:val="36"/>
          <w:szCs w:val="32"/>
        </w:rPr>
        <w:t>Descriptif du Marché</w:t>
      </w:r>
    </w:p>
    <w:p w14:paraId="7DB31CDC" w14:textId="2FA3DC97" w:rsidR="006A578D" w:rsidRPr="00384847" w:rsidRDefault="00565580" w:rsidP="00712F06">
      <w:pPr>
        <w:pStyle w:val="Default"/>
        <w:ind w:left="-567"/>
        <w:jc w:val="center"/>
        <w:rPr>
          <w:rFonts w:asciiTheme="majorHAnsi" w:hAnsiTheme="majorHAnsi" w:cstheme="majorHAnsi"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auto"/>
          <w:sz w:val="28"/>
          <w:szCs w:val="28"/>
        </w:rPr>
        <w:t>Petits Travaux Immobiliers</w:t>
      </w:r>
      <w:r w:rsidR="003E3DAC">
        <w:rPr>
          <w:rFonts w:asciiTheme="majorHAnsi" w:hAnsiTheme="majorHAnsi" w:cstheme="majorHAnsi"/>
          <w:b/>
          <w:color w:val="auto"/>
          <w:sz w:val="28"/>
          <w:szCs w:val="28"/>
        </w:rPr>
        <w:t xml:space="preserve"> – Occultation extérieure / Menuiserie extérieure (porte/fenêtre)</w:t>
      </w:r>
    </w:p>
    <w:p w14:paraId="7DB31CDD" w14:textId="77777777" w:rsidR="00712F06" w:rsidRDefault="00712F06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</w:p>
    <w:p w14:paraId="7DB31CDE" w14:textId="77777777" w:rsidR="00FE4F9F" w:rsidRPr="00110FE4" w:rsidRDefault="00FE4F9F" w:rsidP="00167722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 xml:space="preserve">Nature de la prestation </w:t>
      </w:r>
    </w:p>
    <w:p w14:paraId="7DB31CDF" w14:textId="2E961FCA" w:rsidR="00394851" w:rsidRDefault="00A2064E" w:rsidP="00167722">
      <w:pPr>
        <w:pStyle w:val="Default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Renouvellement du contrat pour les Petits Travaux Immobiliers sur la Centrale Nucléaire du Bugey.</w:t>
      </w:r>
    </w:p>
    <w:p w14:paraId="7DB31CE0" w14:textId="77777777" w:rsidR="00167722" w:rsidRPr="00167722" w:rsidRDefault="00167722" w:rsidP="00167722">
      <w:pPr>
        <w:pStyle w:val="Default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</w:p>
    <w:p w14:paraId="7501A047" w14:textId="77777777" w:rsidR="003E3DAC" w:rsidRDefault="00167722" w:rsidP="003E3DAC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>Descriptif des travaux à réaliser</w:t>
      </w:r>
    </w:p>
    <w:p w14:paraId="546B5B80" w14:textId="402C0D28" w:rsidR="003E3DAC" w:rsidRPr="0010749C" w:rsidRDefault="003E3DAC" w:rsidP="003E3DAC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La présente fiche concerne le lot (objectifs d’avoir 2 entreprises titulaires) : </w:t>
      </w:r>
    </w:p>
    <w:p w14:paraId="59A26C96" w14:textId="1B80E738" w:rsidR="00A81AFB" w:rsidRPr="0010749C" w:rsidRDefault="00A81AFB" w:rsidP="00A81AF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  <w:r w:rsidRPr="0010749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Occultation extérieure / </w:t>
      </w:r>
      <w:r w:rsidR="000E025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M</w:t>
      </w:r>
      <w:r w:rsidRPr="0010749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enuiserie extérieure (porte / fenêtre) </w:t>
      </w:r>
    </w:p>
    <w:p w14:paraId="7DB31CE7" w14:textId="77777777" w:rsidR="00DC30C0" w:rsidRPr="0010749C" w:rsidRDefault="00DC30C0" w:rsidP="00DC30C0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</w:p>
    <w:p w14:paraId="7DB31CE8" w14:textId="77777777" w:rsidR="009448CA" w:rsidRPr="00110FE4" w:rsidRDefault="009448CA" w:rsidP="00167722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>Points particuliers</w:t>
      </w:r>
    </w:p>
    <w:p w14:paraId="7DB31CEB" w14:textId="060BACEC" w:rsidR="00FE4F9F" w:rsidRDefault="00476933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 xml:space="preserve">Pas de nécessité de qualification UTO. </w:t>
      </w:r>
    </w:p>
    <w:p w14:paraId="4E682B9A" w14:textId="4063CC08" w:rsidR="00476933" w:rsidRDefault="00476933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Respect des règles d’accès sur une centrale nucléaire.</w:t>
      </w:r>
    </w:p>
    <w:p w14:paraId="0320A81D" w14:textId="2434E481" w:rsidR="000C3C47" w:rsidRDefault="000C3C47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 xml:space="preserve">Pas d’intervention en zone nucléaire, intervention uniquement dans les locaux tertiaires. </w:t>
      </w:r>
    </w:p>
    <w:p w14:paraId="790EF87B" w14:textId="7D16AF1C" w:rsidR="00F40B6E" w:rsidRPr="00110FE4" w:rsidRDefault="00F40B6E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Les travaux peuvent être p</w:t>
      </w:r>
      <w:r w:rsidR="00EA6403">
        <w:rPr>
          <w:rFonts w:asciiTheme="majorHAnsi" w:hAnsiTheme="majorHAnsi" w:cstheme="majorHAnsi"/>
          <w:color w:val="2F5497"/>
          <w:sz w:val="20"/>
          <w:szCs w:val="18"/>
        </w:rPr>
        <w:t xml:space="preserve">our un programme, par campagne ou ponctuels. </w:t>
      </w:r>
    </w:p>
    <w:p w14:paraId="7DB31CEC" w14:textId="77777777" w:rsidR="00394851" w:rsidRPr="00110FE4" w:rsidRDefault="00394851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</w:p>
    <w:p w14:paraId="7DB31CED" w14:textId="77777777" w:rsidR="00FE4F9F" w:rsidRPr="00110FE4" w:rsidRDefault="00FE4F9F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 xml:space="preserve">Programmation </w:t>
      </w:r>
    </w:p>
    <w:p w14:paraId="7DB31CEE" w14:textId="5E0B8BCE" w:rsidR="008F167E" w:rsidRDefault="008F167E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Publication d’un avis au Journal Officiel de</w:t>
      </w:r>
      <w:r w:rsidR="00AC6F1F">
        <w:rPr>
          <w:rFonts w:asciiTheme="majorHAnsi" w:hAnsiTheme="majorHAnsi" w:cstheme="majorHAnsi"/>
          <w:color w:val="2F5497"/>
          <w:sz w:val="20"/>
          <w:szCs w:val="18"/>
        </w:rPr>
        <w:t xml:space="preserve"> l’Union Européenne : 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>Janvier 2025</w:t>
      </w:r>
    </w:p>
    <w:p w14:paraId="7DB31CEF" w14:textId="2D1BF4DE" w:rsidR="00FE4F9F" w:rsidRPr="00110FE4" w:rsidRDefault="00FE4F9F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 w:rsidRPr="00110FE4">
        <w:rPr>
          <w:rFonts w:asciiTheme="majorHAnsi" w:hAnsiTheme="majorHAnsi" w:cstheme="majorHAnsi"/>
          <w:color w:val="2F5497"/>
          <w:sz w:val="20"/>
          <w:szCs w:val="18"/>
        </w:rPr>
        <w:t xml:space="preserve">Période de consultation : 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>1</w:t>
      </w:r>
      <w:r w:rsidR="00B8155D" w:rsidRPr="00B8155D">
        <w:rPr>
          <w:rFonts w:asciiTheme="majorHAnsi" w:hAnsiTheme="majorHAnsi" w:cstheme="majorHAnsi"/>
          <w:color w:val="2F5497"/>
          <w:sz w:val="20"/>
          <w:szCs w:val="18"/>
          <w:vertAlign w:val="superscript"/>
        </w:rPr>
        <w:t>er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 xml:space="preserve"> trimestre</w:t>
      </w:r>
      <w:r w:rsidR="00B226D6">
        <w:rPr>
          <w:rFonts w:asciiTheme="majorHAnsi" w:hAnsiTheme="majorHAnsi" w:cstheme="majorHAnsi"/>
          <w:color w:val="2F5497"/>
          <w:sz w:val="20"/>
          <w:szCs w:val="18"/>
        </w:rPr>
        <w:t xml:space="preserve"> 2025</w:t>
      </w:r>
    </w:p>
    <w:p w14:paraId="7DB31CF0" w14:textId="28576A9C" w:rsidR="00FE4F9F" w:rsidRDefault="004F7815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 w:rsidRPr="006C0DC2">
        <w:rPr>
          <w:rFonts w:asciiTheme="majorHAnsi" w:hAnsiTheme="majorHAnsi" w:cstheme="majorHAnsi"/>
          <w:color w:val="2F5497"/>
          <w:sz w:val="20"/>
          <w:szCs w:val="18"/>
        </w:rPr>
        <w:t>Fin</w:t>
      </w:r>
      <w:r w:rsidR="001D5703" w:rsidRPr="006C0DC2">
        <w:rPr>
          <w:rFonts w:asciiTheme="majorHAnsi" w:hAnsiTheme="majorHAnsi" w:cstheme="majorHAnsi"/>
          <w:color w:val="2F5497"/>
          <w:sz w:val="20"/>
          <w:szCs w:val="18"/>
        </w:rPr>
        <w:t xml:space="preserve"> de</w:t>
      </w:r>
      <w:r w:rsidRPr="006C0DC2">
        <w:rPr>
          <w:rFonts w:asciiTheme="majorHAnsi" w:hAnsiTheme="majorHAnsi" w:cstheme="majorHAnsi"/>
          <w:color w:val="2F5497"/>
          <w:sz w:val="20"/>
          <w:szCs w:val="18"/>
        </w:rPr>
        <w:t>s</w:t>
      </w:r>
      <w:r w:rsidR="001D5703" w:rsidRPr="006C0DC2">
        <w:rPr>
          <w:rFonts w:asciiTheme="majorHAnsi" w:hAnsiTheme="majorHAnsi" w:cstheme="majorHAnsi"/>
          <w:color w:val="2F5497"/>
          <w:sz w:val="20"/>
          <w:szCs w:val="18"/>
        </w:rPr>
        <w:t xml:space="preserve"> </w:t>
      </w:r>
      <w:r w:rsidR="006C0DC2" w:rsidRPr="006C0DC2">
        <w:rPr>
          <w:rFonts w:asciiTheme="majorHAnsi" w:hAnsiTheme="majorHAnsi" w:cstheme="majorHAnsi"/>
          <w:color w:val="2F5497"/>
          <w:sz w:val="20"/>
          <w:szCs w:val="18"/>
        </w:rPr>
        <w:t>prestations</w:t>
      </w:r>
      <w:r w:rsidR="00FE4F9F" w:rsidRPr="006C0DC2">
        <w:rPr>
          <w:rFonts w:asciiTheme="majorHAnsi" w:hAnsiTheme="majorHAnsi" w:cstheme="majorHAnsi"/>
          <w:color w:val="2F5497"/>
          <w:sz w:val="20"/>
          <w:szCs w:val="18"/>
        </w:rPr>
        <w:t xml:space="preserve"> : 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>période 2026-2031</w:t>
      </w:r>
    </w:p>
    <w:p w14:paraId="16D0309C" w14:textId="20D6114B" w:rsidR="00920FF4" w:rsidRPr="00110FE4" w:rsidRDefault="00C87D8B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Estimation de la v</w:t>
      </w:r>
      <w:r w:rsidR="00920FF4">
        <w:rPr>
          <w:rFonts w:asciiTheme="majorHAnsi" w:hAnsiTheme="majorHAnsi" w:cstheme="majorHAnsi"/>
          <w:color w:val="2F5497"/>
          <w:sz w:val="20"/>
          <w:szCs w:val="18"/>
        </w:rPr>
        <w:t>alorisation en €</w:t>
      </w:r>
      <w:r>
        <w:rPr>
          <w:rFonts w:asciiTheme="majorHAnsi" w:hAnsiTheme="majorHAnsi" w:cstheme="majorHAnsi"/>
          <w:color w:val="2F5497"/>
          <w:sz w:val="20"/>
          <w:szCs w:val="18"/>
        </w:rPr>
        <w:t>uro</w:t>
      </w:r>
      <w:r w:rsidR="00920FF4">
        <w:rPr>
          <w:rFonts w:asciiTheme="majorHAnsi" w:hAnsiTheme="majorHAnsi" w:cstheme="majorHAnsi"/>
          <w:color w:val="2F5497"/>
          <w:sz w:val="20"/>
          <w:szCs w:val="18"/>
        </w:rPr>
        <w:t xml:space="preserve"> : </w:t>
      </w:r>
      <w:r w:rsidR="000C3C47">
        <w:rPr>
          <w:rFonts w:asciiTheme="majorHAnsi" w:hAnsiTheme="majorHAnsi" w:cstheme="majorHAnsi"/>
          <w:color w:val="2F5497"/>
          <w:sz w:val="20"/>
          <w:szCs w:val="18"/>
        </w:rPr>
        <w:t>/</w:t>
      </w:r>
    </w:p>
    <w:p w14:paraId="7DB31CF1" w14:textId="77777777" w:rsidR="00394851" w:rsidRPr="00110FE4" w:rsidRDefault="00394851" w:rsidP="00110FE4">
      <w:pPr>
        <w:autoSpaceDE w:val="0"/>
        <w:autoSpaceDN w:val="0"/>
        <w:adjustRightInd w:val="0"/>
        <w:rPr>
          <w:rFonts w:asciiTheme="majorHAnsi" w:hAnsiTheme="majorHAnsi" w:cstheme="majorHAnsi"/>
          <w:color w:val="2F5497"/>
          <w:sz w:val="20"/>
          <w:szCs w:val="18"/>
        </w:rPr>
      </w:pPr>
    </w:p>
    <w:p w14:paraId="7DB31CF2" w14:textId="77777777" w:rsidR="00FE4F9F" w:rsidRPr="00110FE4" w:rsidRDefault="006C0DC2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>Contacts</w:t>
      </w: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35"/>
      </w:tblGrid>
      <w:tr w:rsidR="007926F3" w:rsidRPr="00BC50D7" w14:paraId="7DB31CF9" w14:textId="77777777" w:rsidTr="006C0DC2">
        <w:tc>
          <w:tcPr>
            <w:tcW w:w="2830" w:type="dxa"/>
          </w:tcPr>
          <w:p w14:paraId="70FC821E" w14:textId="77777777" w:rsidR="00804389" w:rsidRDefault="00707DA7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  <w:t>Mey CHAU</w:t>
            </w:r>
          </w:p>
          <w:p w14:paraId="7DB31CF5" w14:textId="6446117C" w:rsidR="00D32133" w:rsidRPr="000510FD" w:rsidRDefault="00D32133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highlight w:val="yellow"/>
                <w:lang w:val="en-US"/>
              </w:rPr>
            </w:pPr>
            <w:r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  <w:t>Vincent ROHART</w:t>
            </w:r>
          </w:p>
        </w:tc>
        <w:tc>
          <w:tcPr>
            <w:tcW w:w="2835" w:type="dxa"/>
          </w:tcPr>
          <w:p w14:paraId="4E295691" w14:textId="5F0C59DF" w:rsidR="009F620C" w:rsidRDefault="00BC50D7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</w:pPr>
            <w:hyperlink r:id="rId11" w:history="1">
              <w:r w:rsidR="00AE3B43" w:rsidRPr="007A227C">
                <w:rPr>
                  <w:rStyle w:val="Lienhypertexte"/>
                  <w:rFonts w:asciiTheme="majorHAnsi" w:hAnsiTheme="majorHAnsi" w:cstheme="majorHAnsi"/>
                  <w:sz w:val="20"/>
                  <w:szCs w:val="18"/>
                  <w:lang w:val="en-US"/>
                </w:rPr>
                <w:t>mey.chau@edf.fr</w:t>
              </w:r>
            </w:hyperlink>
          </w:p>
          <w:p w14:paraId="7DB31CF8" w14:textId="5A120103" w:rsidR="00AE3B43" w:rsidRPr="00804389" w:rsidRDefault="00BC50D7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</w:pPr>
            <w:hyperlink r:id="rId12" w:history="1">
              <w:r w:rsidR="00D32133" w:rsidRPr="007A227C">
                <w:rPr>
                  <w:rStyle w:val="Lienhypertexte"/>
                  <w:rFonts w:asciiTheme="majorHAnsi" w:hAnsiTheme="majorHAnsi" w:cstheme="majorHAnsi"/>
                  <w:sz w:val="20"/>
                  <w:szCs w:val="18"/>
                  <w:lang w:val="en-US"/>
                </w:rPr>
                <w:t>vincent.rohart@edf.fr</w:t>
              </w:r>
            </w:hyperlink>
            <w:r w:rsidR="00D32133"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  <w:t xml:space="preserve"> </w:t>
            </w:r>
          </w:p>
        </w:tc>
      </w:tr>
    </w:tbl>
    <w:p w14:paraId="7DB31CFA" w14:textId="77777777" w:rsidR="006C0DC2" w:rsidRPr="00804389" w:rsidRDefault="006C0DC2" w:rsidP="00FE4F9F">
      <w:pPr>
        <w:pStyle w:val="Default"/>
        <w:ind w:left="-567"/>
        <w:rPr>
          <w:rFonts w:asciiTheme="majorHAnsi" w:hAnsiTheme="majorHAnsi" w:cstheme="majorHAnsi"/>
          <w:color w:val="2F5497"/>
          <w:sz w:val="20"/>
          <w:szCs w:val="18"/>
          <w:highlight w:val="yellow"/>
          <w:lang w:val="en-US"/>
        </w:rPr>
      </w:pPr>
    </w:p>
    <w:p w14:paraId="7DB31CFB" w14:textId="77777777" w:rsidR="00FE4F9F" w:rsidRPr="00110FE4" w:rsidRDefault="00FE4F9F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 xml:space="preserve">Informations diverses </w:t>
      </w:r>
    </w:p>
    <w:p w14:paraId="7B5C29B9" w14:textId="77777777" w:rsidR="00162CF1" w:rsidRDefault="00733919" w:rsidP="00A11BAF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Ces travaux sont pour le compte de la Direction Immobil</w:t>
      </w:r>
      <w:r w:rsidR="002932DE">
        <w:rPr>
          <w:rFonts w:asciiTheme="majorHAnsi" w:hAnsiTheme="majorHAnsi" w:cstheme="majorHAnsi"/>
          <w:color w:val="2F5497"/>
          <w:sz w:val="20"/>
          <w:szCs w:val="18"/>
        </w:rPr>
        <w:t>ière Régionale Sud Est</w:t>
      </w:r>
      <w:r w:rsidR="00476C02">
        <w:rPr>
          <w:rFonts w:asciiTheme="majorHAnsi" w:hAnsiTheme="majorHAnsi" w:cstheme="majorHAnsi"/>
          <w:color w:val="2F5497"/>
          <w:sz w:val="20"/>
          <w:szCs w:val="18"/>
        </w:rPr>
        <w:t xml:space="preserve"> (DIRSE)</w:t>
      </w:r>
      <w:r w:rsidR="002932DE">
        <w:rPr>
          <w:rFonts w:asciiTheme="majorHAnsi" w:hAnsiTheme="majorHAnsi" w:cstheme="majorHAnsi"/>
          <w:color w:val="2F5497"/>
          <w:sz w:val="20"/>
          <w:szCs w:val="18"/>
        </w:rPr>
        <w:t xml:space="preserve"> pilotant les travaux tertiaires des sites nucléaires</w:t>
      </w:r>
      <w:r w:rsidR="00476C02">
        <w:rPr>
          <w:rFonts w:asciiTheme="majorHAnsi" w:hAnsiTheme="majorHAnsi" w:cstheme="majorHAnsi"/>
          <w:color w:val="2F5497"/>
          <w:sz w:val="20"/>
          <w:szCs w:val="18"/>
        </w:rPr>
        <w:t>,</w:t>
      </w:r>
      <w:r w:rsidR="002932DE">
        <w:rPr>
          <w:rFonts w:asciiTheme="majorHAnsi" w:hAnsiTheme="majorHAnsi" w:cstheme="majorHAnsi"/>
          <w:color w:val="2F5497"/>
          <w:sz w:val="20"/>
          <w:szCs w:val="18"/>
        </w:rPr>
        <w:t xml:space="preserve"> industrielles et tertiaires.</w:t>
      </w:r>
      <w:r w:rsidR="00476C02">
        <w:rPr>
          <w:rFonts w:asciiTheme="majorHAnsi" w:hAnsiTheme="majorHAnsi" w:cstheme="majorHAnsi"/>
          <w:color w:val="2F5497"/>
          <w:sz w:val="20"/>
          <w:szCs w:val="18"/>
        </w:rPr>
        <w:t xml:space="preserve"> Dans le cas de la présente fiche, </w:t>
      </w:r>
      <w:r w:rsidR="00A254AD">
        <w:rPr>
          <w:rFonts w:asciiTheme="majorHAnsi" w:hAnsiTheme="majorHAnsi" w:cstheme="majorHAnsi"/>
          <w:color w:val="2F5497"/>
          <w:sz w:val="20"/>
          <w:szCs w:val="18"/>
        </w:rPr>
        <w:t xml:space="preserve">les travaux seront sur la Centrale Nucléaire du Bugey dans l’Ain. </w:t>
      </w:r>
    </w:p>
    <w:p w14:paraId="7EF98B2B" w14:textId="77777777" w:rsidR="00162CF1" w:rsidRDefault="00162CF1" w:rsidP="00A11BAF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</w:p>
    <w:p w14:paraId="7DB31CFC" w14:textId="521A88BF" w:rsidR="00DC30C0" w:rsidRDefault="00A254AD" w:rsidP="00A11BAF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Sur les autres Centrale</w:t>
      </w:r>
      <w:r w:rsidR="00D34AE2">
        <w:rPr>
          <w:rFonts w:asciiTheme="majorHAnsi" w:hAnsiTheme="majorHAnsi" w:cstheme="majorHAnsi"/>
          <w:color w:val="2F5497"/>
          <w:sz w:val="20"/>
          <w:szCs w:val="18"/>
        </w:rPr>
        <w:t>s Nucléaires de la vallée du Rhône, d</w:t>
      </w:r>
      <w:r w:rsidR="00162CF1">
        <w:rPr>
          <w:rFonts w:asciiTheme="majorHAnsi" w:hAnsiTheme="majorHAnsi" w:cstheme="majorHAnsi"/>
          <w:color w:val="2F5497"/>
          <w:sz w:val="20"/>
          <w:szCs w:val="18"/>
        </w:rPr>
        <w:t>’autres marchés seront émis. Des mutualisations de contrats entre sites sont possibles</w:t>
      </w:r>
      <w:r w:rsidR="002007EF">
        <w:rPr>
          <w:rFonts w:asciiTheme="majorHAnsi" w:hAnsiTheme="majorHAnsi" w:cstheme="majorHAnsi"/>
          <w:color w:val="2F5497"/>
          <w:sz w:val="20"/>
          <w:szCs w:val="18"/>
        </w:rPr>
        <w:t xml:space="preserve"> et ouvertes à échanges. </w:t>
      </w:r>
    </w:p>
    <w:p w14:paraId="7DB31CFD" w14:textId="77777777" w:rsidR="00167722" w:rsidRPr="00110FE4" w:rsidRDefault="00167722" w:rsidP="006C0DC2">
      <w:pPr>
        <w:autoSpaceDE w:val="0"/>
        <w:autoSpaceDN w:val="0"/>
        <w:adjustRightInd w:val="0"/>
        <w:rPr>
          <w:rFonts w:asciiTheme="majorHAnsi" w:hAnsiTheme="majorHAnsi" w:cstheme="majorHAnsi"/>
          <w:color w:val="2F5497"/>
          <w:sz w:val="20"/>
          <w:szCs w:val="18"/>
        </w:rPr>
      </w:pPr>
    </w:p>
    <w:sectPr w:rsidR="00167722" w:rsidRPr="00110FE4" w:rsidSect="00394851">
      <w:pgSz w:w="11906" w:h="16838"/>
      <w:pgMar w:top="1417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26EB" w14:textId="77777777" w:rsidR="00F65938" w:rsidRDefault="00F65938" w:rsidP="007926F3">
      <w:r>
        <w:separator/>
      </w:r>
    </w:p>
  </w:endnote>
  <w:endnote w:type="continuationSeparator" w:id="0">
    <w:p w14:paraId="20F65B2A" w14:textId="77777777" w:rsidR="00F65938" w:rsidRDefault="00F65938" w:rsidP="0079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6DF0" w14:textId="77777777" w:rsidR="00F65938" w:rsidRDefault="00F65938" w:rsidP="007926F3">
      <w:r>
        <w:separator/>
      </w:r>
    </w:p>
  </w:footnote>
  <w:footnote w:type="continuationSeparator" w:id="0">
    <w:p w14:paraId="71E41CBD" w14:textId="77777777" w:rsidR="00F65938" w:rsidRDefault="00F65938" w:rsidP="0079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ED7"/>
    <w:multiLevelType w:val="hybridMultilevel"/>
    <w:tmpl w:val="7B02A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62CC"/>
    <w:multiLevelType w:val="hybridMultilevel"/>
    <w:tmpl w:val="8B06DC28"/>
    <w:lvl w:ilvl="0" w:tplc="ACFE25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C7786"/>
    <w:multiLevelType w:val="hybridMultilevel"/>
    <w:tmpl w:val="2D769210"/>
    <w:lvl w:ilvl="0" w:tplc="D5047C1E">
      <w:numFmt w:val="bullet"/>
      <w:lvlText w:val=""/>
      <w:lvlJc w:val="left"/>
      <w:pPr>
        <w:ind w:left="153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5FC1A4C"/>
    <w:multiLevelType w:val="hybridMultilevel"/>
    <w:tmpl w:val="1CF8B018"/>
    <w:lvl w:ilvl="0" w:tplc="D5047C1E">
      <w:numFmt w:val="bullet"/>
      <w:lvlText w:val=""/>
      <w:lvlJc w:val="left"/>
      <w:pPr>
        <w:ind w:left="-414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7111F12"/>
    <w:multiLevelType w:val="hybridMultilevel"/>
    <w:tmpl w:val="77E6547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D4720"/>
    <w:multiLevelType w:val="hybridMultilevel"/>
    <w:tmpl w:val="A2AE926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9782515"/>
    <w:multiLevelType w:val="hybridMultilevel"/>
    <w:tmpl w:val="A858B72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D1E0B58"/>
    <w:multiLevelType w:val="hybridMultilevel"/>
    <w:tmpl w:val="E29E5DBA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42B26975"/>
    <w:multiLevelType w:val="hybridMultilevel"/>
    <w:tmpl w:val="0F94F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B769B"/>
    <w:multiLevelType w:val="hybridMultilevel"/>
    <w:tmpl w:val="E2487D2C"/>
    <w:lvl w:ilvl="0" w:tplc="7A1C2B8C">
      <w:numFmt w:val="bullet"/>
      <w:lvlText w:val="-"/>
      <w:lvlJc w:val="left"/>
      <w:pPr>
        <w:ind w:left="-207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463E79D6"/>
    <w:multiLevelType w:val="hybridMultilevel"/>
    <w:tmpl w:val="BEA08A4A"/>
    <w:lvl w:ilvl="0" w:tplc="040C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4E7E00C6"/>
    <w:multiLevelType w:val="hybridMultilevel"/>
    <w:tmpl w:val="D7B83616"/>
    <w:lvl w:ilvl="0" w:tplc="D5047C1E">
      <w:numFmt w:val="bullet"/>
      <w:lvlText w:val=""/>
      <w:lvlJc w:val="left"/>
      <w:pPr>
        <w:ind w:left="-414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9F43317"/>
    <w:multiLevelType w:val="hybridMultilevel"/>
    <w:tmpl w:val="926CA4B0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620222A"/>
    <w:multiLevelType w:val="hybridMultilevel"/>
    <w:tmpl w:val="C3ECE820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99F434C"/>
    <w:multiLevelType w:val="hybridMultilevel"/>
    <w:tmpl w:val="FB58F4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8A21F8"/>
    <w:multiLevelType w:val="hybridMultilevel"/>
    <w:tmpl w:val="A1829BE6"/>
    <w:lvl w:ilvl="0" w:tplc="D5047C1E">
      <w:numFmt w:val="bullet"/>
      <w:lvlText w:val=""/>
      <w:lvlJc w:val="left"/>
      <w:pPr>
        <w:ind w:left="-414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79AC7F57"/>
    <w:multiLevelType w:val="hybridMultilevel"/>
    <w:tmpl w:val="215049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961184">
    <w:abstractNumId w:val="4"/>
  </w:num>
  <w:num w:numId="2" w16cid:durableId="561327343">
    <w:abstractNumId w:val="14"/>
  </w:num>
  <w:num w:numId="3" w16cid:durableId="1018193022">
    <w:abstractNumId w:val="0"/>
  </w:num>
  <w:num w:numId="4" w16cid:durableId="1092437640">
    <w:abstractNumId w:val="8"/>
  </w:num>
  <w:num w:numId="5" w16cid:durableId="2137679333">
    <w:abstractNumId w:val="1"/>
  </w:num>
  <w:num w:numId="6" w16cid:durableId="216402722">
    <w:abstractNumId w:val="16"/>
  </w:num>
  <w:num w:numId="7" w16cid:durableId="1138498011">
    <w:abstractNumId w:val="12"/>
  </w:num>
  <w:num w:numId="8" w16cid:durableId="2122410477">
    <w:abstractNumId w:val="9"/>
  </w:num>
  <w:num w:numId="9" w16cid:durableId="1076322898">
    <w:abstractNumId w:val="10"/>
  </w:num>
  <w:num w:numId="10" w16cid:durableId="2062288561">
    <w:abstractNumId w:val="13"/>
  </w:num>
  <w:num w:numId="11" w16cid:durableId="1840659495">
    <w:abstractNumId w:val="5"/>
  </w:num>
  <w:num w:numId="12" w16cid:durableId="688793732">
    <w:abstractNumId w:val="2"/>
  </w:num>
  <w:num w:numId="13" w16cid:durableId="439495863">
    <w:abstractNumId w:val="3"/>
  </w:num>
  <w:num w:numId="14" w16cid:durableId="2029939303">
    <w:abstractNumId w:val="15"/>
  </w:num>
  <w:num w:numId="15" w16cid:durableId="268707747">
    <w:abstractNumId w:val="11"/>
  </w:num>
  <w:num w:numId="16" w16cid:durableId="28454920">
    <w:abstractNumId w:val="6"/>
  </w:num>
  <w:num w:numId="17" w16cid:durableId="1576042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F"/>
    <w:rsid w:val="000510FD"/>
    <w:rsid w:val="00051953"/>
    <w:rsid w:val="000C3C47"/>
    <w:rsid w:val="000D7BEC"/>
    <w:rsid w:val="000E025C"/>
    <w:rsid w:val="0010749C"/>
    <w:rsid w:val="00110FE4"/>
    <w:rsid w:val="00162CF1"/>
    <w:rsid w:val="00167722"/>
    <w:rsid w:val="001B515C"/>
    <w:rsid w:val="001D5703"/>
    <w:rsid w:val="002007EF"/>
    <w:rsid w:val="00206425"/>
    <w:rsid w:val="0027448E"/>
    <w:rsid w:val="00277166"/>
    <w:rsid w:val="002932DE"/>
    <w:rsid w:val="002F594A"/>
    <w:rsid w:val="00343BFE"/>
    <w:rsid w:val="00384847"/>
    <w:rsid w:val="00394851"/>
    <w:rsid w:val="003E3DAC"/>
    <w:rsid w:val="00442689"/>
    <w:rsid w:val="00476933"/>
    <w:rsid w:val="00476C02"/>
    <w:rsid w:val="00477F12"/>
    <w:rsid w:val="004B104F"/>
    <w:rsid w:val="004D60B4"/>
    <w:rsid w:val="004D6F9B"/>
    <w:rsid w:val="004F7815"/>
    <w:rsid w:val="00502700"/>
    <w:rsid w:val="005429C3"/>
    <w:rsid w:val="0054792F"/>
    <w:rsid w:val="00565580"/>
    <w:rsid w:val="00624705"/>
    <w:rsid w:val="006469FA"/>
    <w:rsid w:val="006A578D"/>
    <w:rsid w:val="006C0DC2"/>
    <w:rsid w:val="006D1B1B"/>
    <w:rsid w:val="006D4137"/>
    <w:rsid w:val="00707DA7"/>
    <w:rsid w:val="00712F06"/>
    <w:rsid w:val="007267A8"/>
    <w:rsid w:val="00733919"/>
    <w:rsid w:val="00767AF5"/>
    <w:rsid w:val="0077161D"/>
    <w:rsid w:val="00775E4C"/>
    <w:rsid w:val="007926F3"/>
    <w:rsid w:val="00796DA2"/>
    <w:rsid w:val="007F4A99"/>
    <w:rsid w:val="00804389"/>
    <w:rsid w:val="00852522"/>
    <w:rsid w:val="008569DC"/>
    <w:rsid w:val="008F167E"/>
    <w:rsid w:val="00920FF4"/>
    <w:rsid w:val="009448CA"/>
    <w:rsid w:val="00964031"/>
    <w:rsid w:val="009E40CE"/>
    <w:rsid w:val="009F620C"/>
    <w:rsid w:val="00A11BAF"/>
    <w:rsid w:val="00A2064E"/>
    <w:rsid w:val="00A254AD"/>
    <w:rsid w:val="00A81AFB"/>
    <w:rsid w:val="00AB5380"/>
    <w:rsid w:val="00AC6F1F"/>
    <w:rsid w:val="00AE3B43"/>
    <w:rsid w:val="00B226D6"/>
    <w:rsid w:val="00B8155D"/>
    <w:rsid w:val="00BA7FEC"/>
    <w:rsid w:val="00BC50D7"/>
    <w:rsid w:val="00C008B7"/>
    <w:rsid w:val="00C251E3"/>
    <w:rsid w:val="00C567E3"/>
    <w:rsid w:val="00C87D8B"/>
    <w:rsid w:val="00C95FD3"/>
    <w:rsid w:val="00CE22B9"/>
    <w:rsid w:val="00CF1D9D"/>
    <w:rsid w:val="00CF389D"/>
    <w:rsid w:val="00D1573D"/>
    <w:rsid w:val="00D32133"/>
    <w:rsid w:val="00D33326"/>
    <w:rsid w:val="00D34AE2"/>
    <w:rsid w:val="00D774EE"/>
    <w:rsid w:val="00DC30C0"/>
    <w:rsid w:val="00DC7A6C"/>
    <w:rsid w:val="00DD2646"/>
    <w:rsid w:val="00DF76DC"/>
    <w:rsid w:val="00E054C3"/>
    <w:rsid w:val="00EA0C4B"/>
    <w:rsid w:val="00EA6403"/>
    <w:rsid w:val="00EC7C9A"/>
    <w:rsid w:val="00EE40B5"/>
    <w:rsid w:val="00F106AA"/>
    <w:rsid w:val="00F40B6E"/>
    <w:rsid w:val="00F541E3"/>
    <w:rsid w:val="00F65938"/>
    <w:rsid w:val="00F65F0C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31CD2"/>
  <w15:chartTrackingRefBased/>
  <w15:docId w15:val="{0FAE430C-E891-483C-BCE2-2FEBB13B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E4F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10F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DC3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C0D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3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incent.rohart@edf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y.chau@edf.f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A2C3E93A84847A78EF091F37E9639" ma:contentTypeVersion="15" ma:contentTypeDescription="Crée un document." ma:contentTypeScope="" ma:versionID="13087df6cc9a546e9e954ccac3964036">
  <xsd:schema xmlns:xsd="http://www.w3.org/2001/XMLSchema" xmlns:xs="http://www.w3.org/2001/XMLSchema" xmlns:p="http://schemas.microsoft.com/office/2006/metadata/properties" xmlns:ns2="c6873d8b-c3af-4327-9395-62b446b77a94" xmlns:ns3="8fcdc032-636a-4368-9031-0610a37d09fe" targetNamespace="http://schemas.microsoft.com/office/2006/metadata/properties" ma:root="true" ma:fieldsID="6a7896c30624a407d7d946dcda6db8ad" ns2:_="" ns3:_="">
    <xsd:import namespace="c6873d8b-c3af-4327-9395-62b446b77a94"/>
    <xsd:import namespace="8fcdc032-636a-4368-9031-0610a37d0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73d8b-c3af-4327-9395-62b446b77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9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42f93913-bc41-4bc1-b92f-9f3e8e4be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dc032-636a-4368-9031-0610a37d0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b7cf92-3fb0-4d49-aadc-5a7d6a7692b5}" ma:internalName="TaxCatchAll" ma:showField="CatchAllData" ma:web="8fcdc032-636a-4368-9031-0610a37d0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14393-4877-4D5F-8623-C802F21F0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DB3C7-BF6E-4998-904B-9E07A2AD3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73d8b-c3af-4327-9395-62b446b77a94"/>
    <ds:schemaRef ds:uri="8fcdc032-636a-4368-9031-0610a37d0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SARREAU Christian</dc:creator>
  <cp:keywords/>
  <dc:description/>
  <cp:lastModifiedBy>DOMAIGNE Anthony</cp:lastModifiedBy>
  <cp:revision>30</cp:revision>
  <cp:lastPrinted>2020-06-17T15:32:00Z</cp:lastPrinted>
  <dcterms:created xsi:type="dcterms:W3CDTF">2024-07-17T08:12:00Z</dcterms:created>
  <dcterms:modified xsi:type="dcterms:W3CDTF">2024-08-28T10:08:00Z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2022-11-17T07:11:56Z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572efe05-e0fd-4eaa-baf3-1e8b565dda97</vt:lpwstr>
  </property>
  <property fmtid="{D5CDD505-2E9C-101B-9397-08002B2CF9AE}" pid="8" name="MSIP_Label_2d26f538-337a-4593-a7e6-123667b1a538_ContentBits">
    <vt:lpwstr>0</vt:lpwstr>
  </property>
</Properties>
</file>